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widowControl/>
        <w:suppressLineNumbers w:val="0"/>
        <w:jc w:val="center"/>
        <w:textAlignment w:val="center"/>
        <w:rPr>
          <w:rFonts w:hint="eastAsia" w:ascii="黑体" w:hAnsi="黑体" w:eastAsia="黑体" w:cs="黑体"/>
          <w:b w:val="0"/>
          <w:bCs/>
          <w:i w:val="0"/>
          <w:color w:val="000000"/>
          <w:kern w:val="0"/>
          <w:sz w:val="44"/>
          <w:szCs w:val="44"/>
          <w:u w:val="none"/>
          <w:lang w:val="en-US" w:eastAsia="zh-CN" w:bidi="ar"/>
        </w:rPr>
      </w:pPr>
      <w:r>
        <w:rPr>
          <w:rFonts w:hint="eastAsia" w:ascii="黑体" w:hAnsi="黑体" w:eastAsia="黑体" w:cs="黑体"/>
          <w:b w:val="0"/>
          <w:bCs/>
          <w:i w:val="0"/>
          <w:color w:val="000000"/>
          <w:kern w:val="0"/>
          <w:sz w:val="44"/>
          <w:szCs w:val="44"/>
          <w:u w:val="none"/>
          <w:lang w:val="en-US" w:eastAsia="zh-CN" w:bidi="ar"/>
        </w:rPr>
        <w:t>相关概</w:t>
      </w:r>
      <w:bookmarkStart w:id="0" w:name="_GoBack"/>
      <w:bookmarkEnd w:id="0"/>
      <w:r>
        <w:rPr>
          <w:rFonts w:hint="eastAsia" w:ascii="黑体" w:hAnsi="黑体" w:eastAsia="黑体" w:cs="黑体"/>
          <w:b w:val="0"/>
          <w:bCs/>
          <w:i w:val="0"/>
          <w:color w:val="000000"/>
          <w:kern w:val="0"/>
          <w:sz w:val="44"/>
          <w:szCs w:val="44"/>
          <w:u w:val="none"/>
          <w:lang w:val="en-US" w:eastAsia="zh-CN" w:bidi="ar"/>
        </w:rPr>
        <w:t>念释义</w:t>
      </w:r>
    </w:p>
    <w:p>
      <w:pPr>
        <w:keepNext w:val="0"/>
        <w:keepLines w:val="0"/>
        <w:widowControl/>
        <w:suppressLineNumbers w:val="0"/>
        <w:jc w:val="center"/>
        <w:textAlignment w:val="center"/>
        <w:rPr>
          <w:rFonts w:hint="eastAsia" w:ascii="黑体" w:hAnsi="黑体" w:eastAsia="黑体" w:cs="黑体"/>
          <w:b w:val="0"/>
          <w:bCs/>
          <w:i w:val="0"/>
          <w:color w:val="000000"/>
          <w:kern w:val="0"/>
          <w:sz w:val="32"/>
          <w:szCs w:val="32"/>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val="0"/>
          <w:bCs w:val="0"/>
          <w:color w:val="000000"/>
          <w:sz w:val="32"/>
          <w:szCs w:val="32"/>
          <w:lang w:eastAsia="zh-CN"/>
        </w:rPr>
        <w:t>涉案企业合规：</w:t>
      </w:r>
      <w:r>
        <w:rPr>
          <w:rFonts w:hint="eastAsia" w:ascii="仿宋_GB2312" w:hAnsi="仿宋_GB2312" w:eastAsia="仿宋_GB2312" w:cs="仿宋_GB2312"/>
          <w:color w:val="000000"/>
          <w:sz w:val="32"/>
          <w:szCs w:val="32"/>
          <w:lang w:eastAsia="zh-CN"/>
        </w:rPr>
        <w:t>是指</w:t>
      </w:r>
      <w:r>
        <w:rPr>
          <w:rFonts w:hint="eastAsia" w:ascii="仿宋_GB2312" w:hAnsi="仿宋_GB2312" w:eastAsia="仿宋_GB2312" w:cs="仿宋_GB2312"/>
          <w:color w:val="000000"/>
          <w:kern w:val="2"/>
          <w:sz w:val="32"/>
          <w:szCs w:val="32"/>
          <w:lang w:val="en-US" w:eastAsia="zh-CN" w:bidi="ar-SA"/>
        </w:rPr>
        <w:t>人民检察院</w:t>
      </w:r>
      <w:r>
        <w:rPr>
          <w:rFonts w:hint="eastAsia" w:ascii="仿宋_GB2312" w:hAnsi="仿宋_GB2312" w:eastAsia="仿宋_GB2312" w:cs="仿宋_GB2312"/>
          <w:color w:val="000000"/>
          <w:sz w:val="32"/>
          <w:szCs w:val="32"/>
          <w:lang w:eastAsia="zh-CN"/>
        </w:rPr>
        <w:t>对于办理的涉企刑事案件，在依法做出不批准逮捕、不起诉决定或者根据认罪认罚从宽制度提出轻缓量刑建议</w:t>
      </w:r>
      <w:r>
        <w:rPr>
          <w:rFonts w:hint="default"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lang w:eastAsia="zh-CN"/>
        </w:rPr>
        <w:t>的同时，针对企业涉嫌具体犯罪，结合办案实际，督促涉案企业作出合规承诺并积极整改落实，促进企业合规守法经营，减少</w:t>
      </w:r>
      <w:r>
        <w:rPr>
          <w:rFonts w:hint="default"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lang w:eastAsia="zh-CN"/>
        </w:rPr>
        <w:t>预防企业犯罪，实现司法办案政治效果、法律效果</w:t>
      </w:r>
      <w:r>
        <w:rPr>
          <w:rFonts w:hint="default"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社会效果的有机统一。</w:t>
      </w:r>
    </w:p>
    <w:p>
      <w:pPr>
        <w:keepNext w:val="0"/>
        <w:keepLines w:val="0"/>
        <w:widowControl/>
        <w:suppressLineNumbers w:val="0"/>
        <w:ind w:firstLine="640" w:firstLineChars="200"/>
        <w:jc w:val="left"/>
        <w:textAlignment w:val="center"/>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第三方监督评估机制：</w:t>
      </w:r>
      <w:r>
        <w:rPr>
          <w:rFonts w:hint="eastAsia" w:ascii="仿宋_GB2312" w:hAnsi="仿宋_GB2312" w:eastAsia="仿宋_GB2312" w:cs="仿宋_GB2312"/>
          <w:color w:val="000000"/>
          <w:kern w:val="2"/>
          <w:sz w:val="32"/>
          <w:szCs w:val="32"/>
          <w:lang w:val="en-US" w:eastAsia="zh-CN" w:bidi="ar-SA"/>
        </w:rPr>
        <w:t>是指人民检察院在办理涉企犯罪案件时，对符合企业合规改革试点适用条件的，交由第三方监督评估机制管理委员会选任组成的第三方监督评估组织，对涉案企业的合规承诺进行调查、评估、监督和考察。考察结果作为人民检察院依法处理案件的重要参考。</w:t>
      </w:r>
    </w:p>
    <w:p>
      <w:pPr>
        <w:pStyle w:val="2"/>
        <w:rPr>
          <w:rFonts w:hint="eastAsia"/>
          <w:lang w:val="en-US" w:eastAsia="zh-CN"/>
        </w:rPr>
      </w:pPr>
      <w:r>
        <w:rPr>
          <w:rFonts w:hint="eastAsia" w:ascii="楷体_GB2312" w:hAnsi="楷体_GB2312" w:eastAsia="楷体_GB2312" w:cs="楷体_GB2312"/>
          <w:b w:val="0"/>
          <w:bCs w:val="0"/>
          <w:color w:val="000000"/>
          <w:kern w:val="2"/>
          <w:sz w:val="32"/>
          <w:szCs w:val="32"/>
          <w:lang w:val="en-US" w:eastAsia="zh-CN" w:bidi="ar-SA"/>
        </w:rPr>
        <w:t>第三方监督评估机制专业人员：</w:t>
      </w:r>
      <w:r>
        <w:rPr>
          <w:rFonts w:hint="eastAsia" w:ascii="仿宋_GB2312" w:hAnsi="仿宋_GB2312" w:eastAsia="仿宋_GB2312" w:cs="仿宋_GB2312"/>
          <w:color w:val="000000"/>
          <w:kern w:val="2"/>
          <w:sz w:val="32"/>
          <w:szCs w:val="32"/>
          <w:lang w:val="en-US" w:eastAsia="zh-CN" w:bidi="ar-SA"/>
        </w:rPr>
        <w:t>是指由涉案企业合规第三方监督评估机制管理委员会选任确定，作为第三方监督评估组织组成人员参与涉案企业合规第三方监督评估工作的相关领域专业人员。</w:t>
      </w:r>
    </w:p>
    <w:p>
      <w:pPr>
        <w:keepNext w:val="0"/>
        <w:keepLines w:val="0"/>
        <w:widowControl/>
        <w:suppressLineNumbers w:val="0"/>
        <w:ind w:firstLine="640" w:firstLineChars="200"/>
        <w:jc w:val="left"/>
        <w:textAlignment w:val="center"/>
        <w:rPr>
          <w:rFonts w:hint="eastAsia" w:ascii="仿宋_GB2312" w:hAnsi="仿宋_GB2312" w:eastAsia="仿宋_GB2312" w:cs="仿宋_GB2312"/>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第三方监督评估组织及其工作内容：</w:t>
      </w:r>
      <w:r>
        <w:rPr>
          <w:rFonts w:hint="eastAsia" w:ascii="仿宋_GB2312" w:hAnsi="仿宋_GB2312" w:eastAsia="仿宋_GB2312" w:cs="仿宋_GB2312"/>
          <w:color w:val="000000"/>
          <w:kern w:val="2"/>
          <w:sz w:val="32"/>
          <w:szCs w:val="32"/>
          <w:lang w:val="en-US" w:eastAsia="zh-CN" w:bidi="ar-SA"/>
        </w:rPr>
        <w:t>由2-7名专业人员组成的第三方组织对涉案企业合规计划的可行性、有效性与全面性进行审查，提出修改完善的意见建议，并根据案件具体情况和涉案企业承诺履行的期限，确定合规考察期限。在合规考察期内，第三方组织可以定期或者不定期对涉案企业合规计划履行情况进行检查和评估，可以要求涉案企业定期书面报告合规计划的执行情况，同时抄送负责办理案件的人民检察院。第三方组织发现涉案企业或其人员尚未被办案机关掌握的犯罪事实或者新实施的犯罪行为，应当中止第三方监督评估程序，并向负责办理案件的人民检察院报告。第三方组织在合规考察期届满后，应当对涉案企业的合规计划完成情况进行全面检查、评估和考核，并制作合规考察书面报告，报送负责选任第三方组织的第三方机制管委会和负责办理案件的人民检察院。</w:t>
      </w:r>
    </w:p>
    <w:p>
      <w:pPr>
        <w:pStyle w:val="2"/>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其他未尽事宜和相关概念详细释义见最高人民检察院、司法部、财政部、生态环境部、国务院国有资产监督管理委员会、国家税务总局、国家市场监督管理总局、全国工商联、中国国际贸易促进委员会《关于建立涉案企业合规第三方监督评估机制的指导意见（试行）》《〈关于建立涉案企业合规第三方监督评估机制的指导意见（试行）〉实施细则》《涉案企业合规第三方监督评估机制专业人员选任管理办法（试行）》《涉案企业合规建设、评估和审查办法（试行）》。</w:t>
      </w:r>
    </w:p>
    <w:p>
      <w:pPr>
        <w:keepNext w:val="0"/>
        <w:keepLines w:val="0"/>
        <w:widowControl/>
        <w:suppressLineNumbers w:val="0"/>
        <w:jc w:val="left"/>
        <w:textAlignment w:val="center"/>
        <w:rPr>
          <w:rFonts w:hint="eastAsia" w:ascii="黑体" w:hAnsi="黑体" w:eastAsia="黑体" w:cs="黑体"/>
          <w:b w:val="0"/>
          <w:bCs w:val="0"/>
          <w:sz w:val="32"/>
          <w:szCs w:val="32"/>
          <w:lang w:val="en-US" w:eastAsia="zh-CN"/>
        </w:rPr>
      </w:pPr>
    </w:p>
    <w:p>
      <w:pPr>
        <w:keepNext w:val="0"/>
        <w:keepLines w:val="0"/>
        <w:widowControl/>
        <w:suppressLineNumbers w:val="0"/>
        <w:jc w:val="left"/>
        <w:textAlignment w:val="center"/>
        <w:rPr>
          <w:rFonts w:hint="eastAsia" w:ascii="黑体" w:hAnsi="黑体" w:eastAsia="黑体" w:cs="黑体"/>
          <w:b w:val="0"/>
          <w:bCs w:val="0"/>
          <w:sz w:val="32"/>
          <w:szCs w:val="32"/>
          <w:lang w:val="en-US" w:eastAsia="zh-CN"/>
        </w:rPr>
      </w:pPr>
    </w:p>
    <w:p>
      <w:pPr>
        <w:keepNext w:val="0"/>
        <w:keepLines w:val="0"/>
        <w:widowControl/>
        <w:suppressLineNumbers w:val="0"/>
        <w:jc w:val="left"/>
        <w:textAlignment w:val="center"/>
        <w:rPr>
          <w:rFonts w:hint="eastAsia" w:ascii="黑体" w:hAnsi="黑体" w:eastAsia="黑体" w:cs="黑体"/>
          <w:b w:val="0"/>
          <w:bCs w:val="0"/>
          <w:sz w:val="32"/>
          <w:szCs w:val="32"/>
          <w:lang w:val="en-US" w:eastAsia="zh-CN"/>
        </w:rPr>
      </w:pPr>
    </w:p>
    <w:p/>
    <w:sectPr>
      <w:pgSz w:w="11906" w:h="16838"/>
      <w:pgMar w:top="2154" w:right="1474" w:bottom="1928" w:left="1587" w:header="851" w:footer="992" w:gutter="0"/>
      <w:pgNumType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NzYxNjM1ZGE0Zjc2M2Y2MDQ0ZWI2MzcxNjQ2YzUifQ=="/>
  </w:docVars>
  <w:rsids>
    <w:rsidRoot w:val="00172A27"/>
    <w:rsid w:val="1F5C28FE"/>
    <w:rsid w:val="3CE43762"/>
    <w:rsid w:val="3D75471B"/>
    <w:rsid w:val="404B1E76"/>
    <w:rsid w:val="46EC56E9"/>
    <w:rsid w:val="4C133A62"/>
    <w:rsid w:val="4DE15BBA"/>
    <w:rsid w:val="4F676C08"/>
    <w:rsid w:val="67B37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联想</cp:lastModifiedBy>
  <dcterms:modified xsi:type="dcterms:W3CDTF">2022-11-17T09:28:32Z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E2FDE77992B94766BFDBBB7E6AD0BEBD</vt:lpwstr>
  </property>
</Properties>
</file>