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课程安排</w:t>
      </w:r>
    </w:p>
    <w:bookmarkEnd w:id="0"/>
    <w:tbl>
      <w:tblPr>
        <w:tblStyle w:val="3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30" w:type="dxa"/>
            <w:gridSpan w:val="2"/>
            <w:noWrap w:val="0"/>
            <w:vAlign w:val="center"/>
          </w:tcPr>
          <w:p>
            <w:pPr>
              <w:pStyle w:val="2"/>
              <w:spacing w:line="310" w:lineRule="exact"/>
              <w:ind w:firstLine="464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6月19日（星期五）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08:30-09:00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主讲专家：江  平  著名法学家，中国政法大学终身教授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09:10-12:00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《民法典物权编》重大理论和实践中的疑难问题（上）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主讲专家：杜万华  二级大法官、最高人民法院咨询委员会副主任、最高人民法院《民法典》编撰工作研究小组副组长兼办公室主任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13:30-15:30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《民法典侵权编》重大理论和实践中的疑难问题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主讲专家：周友军  法学博士、教授、博士生导师，北京航空航天大学法学院副院长、民法研究中心主任，中国法学会《民法典》编纂专项课题组成员、中国法学会民法学研究会理事、中国法学会比较法学研究会理事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15:40-18:00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《民法典合同编》重大理论和实践中的疑难问题（上）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主讲专家：朱  虎  民商法学博士，全国人大法工委“民法典编纂工作专班成员”，中国人民大学法学院副教授、博士生导师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93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6月20日（星期六）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09:00-12:00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《民法典物权编》重大理论和实践中的疑难问题（下）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主讲专家：龙  俊  法学博士，全国人大法工委“民法典编纂工作专班成员”，清华大学法学院院长助理，副教授，博士生导师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13:30-15:30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1、</w:t>
            </w:r>
            <w:r>
              <w:rPr>
                <w:rFonts w:hint="eastAsia" w:ascii="楷体" w:hAnsi="楷体" w:eastAsia="楷体" w:cs="楷体"/>
                <w:sz w:val="24"/>
              </w:rPr>
              <w:fldChar w:fldCharType="begin"/>
            </w:r>
            <w:r>
              <w:rPr>
                <w:rFonts w:hint="eastAsia" w:ascii="楷体" w:hAnsi="楷体" w:eastAsia="楷体" w:cs="楷体"/>
                <w:sz w:val="24"/>
              </w:rPr>
              <w:instrText xml:space="preserve"> HYPERLINK "http://www.baidu.com/link?url=LDujk1WS4biE2LiMLVAerKBDaCNmI0uWmlJ-hIJUOlRCu9Dcx8tjWZh6HnhcXkisTEsMrVMp_wQg6mlPyBISd_" \t "https://www.baidu.com/_blank" </w:instrText>
            </w:r>
            <w:r>
              <w:rPr>
                <w:rFonts w:hint="eastAsia" w:ascii="楷体" w:hAnsi="楷体" w:eastAsia="楷体" w:cs="楷体"/>
                <w:sz w:val="24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</w:rPr>
              <w:t>《民法典》编纂的进程</w:t>
            </w:r>
            <w:r>
              <w:rPr>
                <w:rFonts w:hint="eastAsia" w:ascii="楷体" w:hAnsi="楷体" w:eastAsia="楷体" w:cs="楷体"/>
                <w:sz w:val="24"/>
              </w:rPr>
              <w:fldChar w:fldCharType="begin"/>
            </w:r>
            <w:r>
              <w:rPr>
                <w:rFonts w:hint="eastAsia" w:ascii="楷体" w:hAnsi="楷体" w:eastAsia="楷体" w:cs="楷体"/>
                <w:sz w:val="24"/>
              </w:rPr>
              <w:instrText xml:space="preserve"> HYPERLINK "http://www.baidu.com/link?url=E7POkx25CA_bCjk7i-192YE89mAYgJ25X8PSKO_j73wz3WT9wDrXJjdaU6RwB3v3FsVDtWmwYRdK3Iw9vmyQRq" \t "https://www.baidu.com/_blank" </w:instrText>
            </w:r>
            <w:r>
              <w:rPr>
                <w:rFonts w:hint="eastAsia" w:ascii="楷体" w:hAnsi="楷体" w:eastAsia="楷体" w:cs="楷体"/>
                <w:sz w:val="24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</w:rPr>
              <w:t>、基本思路、立法体例</w:t>
            </w:r>
            <w:r>
              <w:rPr>
                <w:rFonts w:hint="eastAsia" w:ascii="楷体" w:hAnsi="楷体" w:eastAsia="楷体" w:cs="楷体"/>
                <w:sz w:val="24"/>
              </w:rPr>
              <w:fldChar w:fldCharType="end"/>
            </w:r>
            <w:r>
              <w:rPr>
                <w:rFonts w:hint="eastAsia" w:ascii="楷体" w:hAnsi="楷体" w:eastAsia="楷体" w:cs="楷体"/>
                <w:sz w:val="24"/>
              </w:rPr>
              <w:t>与立法技术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2、《民法典》编纂的重要意义</w:t>
            </w:r>
            <w:r>
              <w:rPr>
                <w:rFonts w:hint="eastAsia" w:ascii="楷体" w:hAnsi="楷体" w:eastAsia="楷体" w:cs="楷体"/>
                <w:sz w:val="24"/>
              </w:rPr>
              <w:fldChar w:fldCharType="end"/>
            </w:r>
            <w:r>
              <w:rPr>
                <w:rFonts w:hint="eastAsia" w:ascii="楷体" w:hAnsi="楷体" w:eastAsia="楷体" w:cs="楷体"/>
                <w:sz w:val="24"/>
              </w:rPr>
              <w:t>及其创新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3、《民法典》各分编的新规、亮点及重大争议问题的类型化分析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主讲专家：全国人大法工委民法室相关专家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15:40-18:00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《民法典人格权编》重大理论和实践中的疑难问题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主讲专家：石佳友  法学博士、中国人民大学法学院教授、博士生导师，法语国家法制研究中心主任，中国人民大学民商事法律科学研究中心执行主任，中国法学会民法典合同编、人格权编课题组成员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93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6月21日（星期日）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09:00-12:00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《民法典合同编》重大理论和实践中的疑难问题（下）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主讲专家：谢鸿飞  法学博士，教授，博士生导师，中国社科院法学研究所民法室主任，中国社科院民法典编撰小组秘书长，全国十大杰出青年法学家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13:30-17:30</w:t>
            </w:r>
          </w:p>
        </w:tc>
        <w:tc>
          <w:tcPr>
            <w:tcW w:w="7422" w:type="dxa"/>
            <w:noWrap w:val="0"/>
            <w:vAlign w:val="center"/>
          </w:tcPr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1、《民法典婚姻编》重大理论和实践中的疑难问题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2、《民法典继承编》重大理论和实践中的疑难问题</w:t>
            </w:r>
          </w:p>
          <w:p>
            <w:pPr>
              <w:pStyle w:val="2"/>
              <w:spacing w:line="310" w:lineRule="exact"/>
              <w:ind w:firstLine="0" w:firstLineChars="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主讲专家：马忆南  民商法学博士、北京大学法学院教授、博士生导师，中国法学会婚姻家庭法学研究会副会长，中国法学会民法典婚姻家庭编课题组成员、分章负责人</w:t>
            </w:r>
          </w:p>
        </w:tc>
      </w:tr>
    </w:tbl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86262"/>
    <w:rsid w:val="0BF86262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2020-06-16T06:46:00Z</dcterms:created>
  <dc:creator>联想</dc:creator>
  <cp:lastModifiedBy>联想</cp:lastModifiedBy>
  <dcterms:modified xsi:type="dcterms:W3CDTF">2020-06-16T06:46:20Z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